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5365E4"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Správa o</w:t>
      </w:r>
      <w:r w:rsidR="00ED3A9D">
        <w:rPr>
          <w:rFonts w:ascii="Times New Roman" w:hAnsi="Times New Roman"/>
          <w:b/>
          <w:sz w:val="28"/>
          <w:szCs w:val="28"/>
        </w:rPr>
        <w:t xml:space="preserve"> mimoškolskej </w:t>
      </w:r>
      <w:r w:rsidR="00550FB6">
        <w:rPr>
          <w:rFonts w:ascii="Times New Roman" w:hAnsi="Times New Roman"/>
          <w:b/>
          <w:sz w:val="28"/>
          <w:szCs w:val="28"/>
        </w:rPr>
        <w:t>činnosti</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Prioritná os</w:t>
            </w:r>
          </w:p>
        </w:tc>
        <w:tc>
          <w:tcPr>
            <w:tcW w:w="4524" w:type="dxa"/>
            <w:vAlign w:val="center"/>
          </w:tcPr>
          <w:p w:rsidR="00F305BB" w:rsidRPr="008604F2" w:rsidRDefault="00F305BB" w:rsidP="008604F2">
            <w:pPr>
              <w:tabs>
                <w:tab w:val="left" w:pos="4007"/>
              </w:tabs>
              <w:spacing w:after="0" w:line="240" w:lineRule="auto"/>
              <w:rPr>
                <w:rFonts w:ascii="Times New Roman" w:hAnsi="Times New Roman"/>
              </w:rPr>
            </w:pPr>
            <w:r w:rsidRPr="008604F2">
              <w:rPr>
                <w:rFonts w:ascii="Times New Roman" w:hAnsi="Times New Roman"/>
              </w:rPr>
              <w:t>Vzdelávanie</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Špecifický cieľ</w:t>
            </w:r>
          </w:p>
        </w:tc>
        <w:tc>
          <w:tcPr>
            <w:tcW w:w="4524" w:type="dxa"/>
            <w:vAlign w:val="center"/>
          </w:tcPr>
          <w:p w:rsidR="00F305BB" w:rsidRPr="008604F2" w:rsidRDefault="001620FF" w:rsidP="008604F2">
            <w:pPr>
              <w:tabs>
                <w:tab w:val="left" w:pos="4007"/>
              </w:tabs>
              <w:spacing w:after="0" w:line="240" w:lineRule="auto"/>
              <w:rPr>
                <w:rFonts w:ascii="Times New Roman" w:hAnsi="Times New Roman"/>
              </w:rPr>
            </w:pPr>
            <w:r w:rsidRPr="008604F2">
              <w:rPr>
                <w:rFonts w:ascii="Times New Roman" w:hAnsi="Times New Roman"/>
              </w:rPr>
              <w:t>1.</w:t>
            </w:r>
            <w:r w:rsidR="0063740B" w:rsidRPr="008604F2">
              <w:rPr>
                <w:rFonts w:ascii="Times New Roman" w:hAnsi="Times New Roman"/>
              </w:rPr>
              <w:t xml:space="preserve">2.1. Zvýšiť kvalitu odborného vzdelávania a prípravy reflektujúc potreby trhu práce </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Prijímateľ</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Trnavský samosprávny kraj</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projektu</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 xml:space="preserve">Prepojenie stredoškolského vzdelávania s praxou v Trnavskom samosprávnom kraji </w:t>
            </w:r>
            <w:r w:rsidR="001502F6" w:rsidRPr="008604F2">
              <w:rPr>
                <w:rFonts w:ascii="Times New Roman" w:hAnsi="Times New Roman"/>
              </w:rPr>
              <w:t>2</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Kód projektu  ITMS2014+</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312011AGY</w:t>
            </w:r>
            <w:r w:rsidR="001502F6" w:rsidRPr="008604F2">
              <w:rPr>
                <w:rFonts w:ascii="Times New Roman" w:hAnsi="Times New Roman"/>
              </w:rPr>
              <w:t>5</w:t>
            </w:r>
          </w:p>
        </w:tc>
      </w:tr>
      <w:tr w:rsidR="00F305BB" w:rsidRPr="008604F2" w:rsidTr="008604F2">
        <w:tc>
          <w:tcPr>
            <w:tcW w:w="4538" w:type="dxa"/>
            <w:vAlign w:val="center"/>
          </w:tcPr>
          <w:p w:rsidR="00F305BB"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školy</w:t>
            </w:r>
          </w:p>
        </w:tc>
        <w:tc>
          <w:tcPr>
            <w:tcW w:w="4524" w:type="dxa"/>
            <w:vAlign w:val="center"/>
          </w:tcPr>
          <w:p w:rsidR="008604F2" w:rsidRPr="00CC0A29" w:rsidRDefault="008604F2" w:rsidP="008604F2">
            <w:pPr>
              <w:tabs>
                <w:tab w:val="left" w:pos="4007"/>
              </w:tabs>
              <w:spacing w:after="0" w:line="240" w:lineRule="auto"/>
              <w:rPr>
                <w:rFonts w:ascii="Times New Roman" w:hAnsi="Times New Roman"/>
              </w:rPr>
            </w:pPr>
            <w:r w:rsidRPr="00CC0A29">
              <w:rPr>
                <w:rFonts w:ascii="Times New Roman" w:hAnsi="Times New Roman"/>
              </w:rPr>
              <w:t>Stredná odborná škola technická Galanta -</w:t>
            </w:r>
          </w:p>
          <w:p w:rsidR="00F305BB" w:rsidRPr="008604F2" w:rsidRDefault="008604F2" w:rsidP="008604F2">
            <w:pPr>
              <w:tabs>
                <w:tab w:val="left" w:pos="4007"/>
              </w:tabs>
              <w:spacing w:after="0" w:line="240" w:lineRule="auto"/>
              <w:rPr>
                <w:rFonts w:ascii="Times New Roman" w:hAnsi="Times New Roman"/>
              </w:rPr>
            </w:pPr>
            <w:r w:rsidRPr="00CC0A29">
              <w:rPr>
                <w:rFonts w:ascii="Times New Roman" w:hAnsi="Times New Roman"/>
              </w:rPr>
              <w:t>Műszaki Szakközépiskola Galanta</w:t>
            </w:r>
          </w:p>
        </w:tc>
      </w:tr>
      <w:tr w:rsidR="00BE00F1" w:rsidRPr="008604F2" w:rsidTr="008604F2">
        <w:tc>
          <w:tcPr>
            <w:tcW w:w="4538" w:type="dxa"/>
            <w:vAlign w:val="center"/>
          </w:tcPr>
          <w:p w:rsidR="00BE00F1"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mimoškolskej činnosti</w:t>
            </w:r>
          </w:p>
        </w:tc>
        <w:tc>
          <w:tcPr>
            <w:tcW w:w="4524" w:type="dxa"/>
            <w:vAlign w:val="center"/>
          </w:tcPr>
          <w:p w:rsidR="00CC0A29" w:rsidRDefault="008604F2" w:rsidP="00CC0A29">
            <w:pPr>
              <w:tabs>
                <w:tab w:val="left" w:pos="4007"/>
              </w:tabs>
              <w:spacing w:after="0" w:line="240" w:lineRule="auto"/>
              <w:rPr>
                <w:rFonts w:ascii="Times New Roman" w:hAnsi="Times New Roman"/>
              </w:rPr>
            </w:pPr>
            <w:r w:rsidRPr="008604F2">
              <w:rPr>
                <w:rFonts w:ascii="Times New Roman" w:hAnsi="Times New Roman"/>
              </w:rPr>
              <w:t xml:space="preserve">Krúžok bez písomného výstupu: </w:t>
            </w:r>
          </w:p>
          <w:p w:rsidR="00BE00F1" w:rsidRPr="008604F2" w:rsidRDefault="00D877B6" w:rsidP="00CC0A29">
            <w:pPr>
              <w:tabs>
                <w:tab w:val="left" w:pos="4007"/>
              </w:tabs>
              <w:spacing w:after="0" w:line="240" w:lineRule="auto"/>
              <w:rPr>
                <w:rFonts w:ascii="Times New Roman" w:hAnsi="Times New Roman"/>
              </w:rPr>
            </w:pPr>
            <w:r w:rsidRPr="00D877B6">
              <w:rPr>
                <w:rFonts w:ascii="Times New Roman" w:hAnsi="Times New Roman"/>
              </w:rPr>
              <w:t>Presné poľnohospodárstvo</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Dátum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F305BB" w:rsidRPr="008604F2" w:rsidRDefault="00BA0227" w:rsidP="008604F2">
            <w:pPr>
              <w:tabs>
                <w:tab w:val="left" w:pos="4007"/>
              </w:tabs>
              <w:spacing w:after="0" w:line="240" w:lineRule="auto"/>
              <w:rPr>
                <w:rFonts w:ascii="Times New Roman" w:hAnsi="Times New Roman"/>
              </w:rPr>
            </w:pPr>
            <w:r>
              <w:rPr>
                <w:rFonts w:ascii="Times New Roman" w:hAnsi="Times New Roman"/>
              </w:rPr>
              <w:t>4.4.2022</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Miesto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8604F2" w:rsidRPr="008604F2" w:rsidRDefault="008604F2" w:rsidP="008604F2">
            <w:pPr>
              <w:tabs>
                <w:tab w:val="left" w:pos="4007"/>
              </w:tabs>
              <w:spacing w:after="0" w:line="240" w:lineRule="auto"/>
              <w:rPr>
                <w:rFonts w:ascii="Times New Roman" w:hAnsi="Times New Roman"/>
                <w:sz w:val="20"/>
              </w:rPr>
            </w:pPr>
            <w:r w:rsidRPr="008604F2">
              <w:rPr>
                <w:rFonts w:ascii="Times New Roman" w:hAnsi="Times New Roman"/>
                <w:sz w:val="20"/>
              </w:rPr>
              <w:t>Stredná odborná škola technická Galanta -</w:t>
            </w:r>
          </w:p>
          <w:p w:rsidR="00F305BB" w:rsidRPr="008604F2" w:rsidRDefault="008604F2" w:rsidP="00D877B6">
            <w:pPr>
              <w:tabs>
                <w:tab w:val="left" w:pos="4007"/>
              </w:tabs>
              <w:spacing w:after="0" w:line="240" w:lineRule="auto"/>
              <w:rPr>
                <w:rFonts w:ascii="Times New Roman" w:hAnsi="Times New Roman"/>
              </w:rPr>
            </w:pPr>
            <w:r w:rsidRPr="008604F2">
              <w:rPr>
                <w:rFonts w:ascii="Times New Roman" w:hAnsi="Times New Roman"/>
                <w:sz w:val="20"/>
              </w:rPr>
              <w:t>Műszaki Szakközépiskola Galanta Esterházyovcov 712/10, 924 34 Galanta - miestnosť/učebňa:</w:t>
            </w:r>
            <w:r w:rsidR="009B1341">
              <w:rPr>
                <w:rFonts w:ascii="Times New Roman" w:hAnsi="Times New Roman"/>
                <w:sz w:val="20"/>
              </w:rPr>
              <w:t xml:space="preserve"> </w:t>
            </w:r>
            <w:r w:rsidR="00D877B6">
              <w:rPr>
                <w:rFonts w:ascii="Times New Roman" w:hAnsi="Times New Roman"/>
                <w:sz w:val="20"/>
              </w:rPr>
              <w:t>Agro</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Meno </w:t>
            </w:r>
            <w:r w:rsidR="00ED3A9D" w:rsidRPr="008604F2">
              <w:rPr>
                <w:rFonts w:ascii="Times New Roman" w:hAnsi="Times New Roman"/>
              </w:rPr>
              <w:t xml:space="preserve">lektora mimoškolskej </w:t>
            </w:r>
            <w:r w:rsidR="00550FB6" w:rsidRPr="008604F2">
              <w:rPr>
                <w:rFonts w:ascii="Times New Roman" w:hAnsi="Times New Roman"/>
              </w:rPr>
              <w:t>činnosti</w:t>
            </w:r>
          </w:p>
        </w:tc>
        <w:tc>
          <w:tcPr>
            <w:tcW w:w="4524" w:type="dxa"/>
            <w:vAlign w:val="center"/>
          </w:tcPr>
          <w:p w:rsidR="00F305BB" w:rsidRPr="008604F2" w:rsidRDefault="00D877B6" w:rsidP="008604F2">
            <w:pPr>
              <w:tabs>
                <w:tab w:val="left" w:pos="4007"/>
              </w:tabs>
              <w:spacing w:after="0" w:line="240" w:lineRule="auto"/>
              <w:rPr>
                <w:rFonts w:ascii="Times New Roman" w:hAnsi="Times New Roman"/>
              </w:rPr>
            </w:pPr>
            <w:r>
              <w:rPr>
                <w:rFonts w:ascii="Times New Roman" w:hAnsi="Times New Roman"/>
              </w:rPr>
              <w:t>Filip Koška</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Odkaz na webové sídlo </w:t>
            </w:r>
            <w:r w:rsidR="008604F2">
              <w:rPr>
                <w:rFonts w:ascii="Times New Roman" w:hAnsi="Times New Roman"/>
              </w:rPr>
              <w:br/>
            </w:r>
            <w:r w:rsidRPr="008604F2">
              <w:rPr>
                <w:rFonts w:ascii="Times New Roman" w:hAnsi="Times New Roman"/>
              </w:rPr>
              <w:t>zverejnenej správy</w:t>
            </w:r>
          </w:p>
        </w:tc>
        <w:tc>
          <w:tcPr>
            <w:tcW w:w="4524" w:type="dxa"/>
            <w:vAlign w:val="center"/>
          </w:tcPr>
          <w:p w:rsidR="008604F2" w:rsidRDefault="002564D1" w:rsidP="008604F2">
            <w:pPr>
              <w:tabs>
                <w:tab w:val="left" w:pos="4007"/>
              </w:tabs>
              <w:spacing w:after="0" w:line="240" w:lineRule="auto"/>
              <w:rPr>
                <w:rFonts w:ascii="Times New Roman" w:hAnsi="Times New Roman"/>
              </w:rPr>
            </w:pPr>
            <w:hyperlink r:id="rId8" w:history="1">
              <w:r w:rsidR="008604F2">
                <w:rPr>
                  <w:rStyle w:val="Hypertextovprepojenie"/>
                  <w:rFonts w:ascii="Times New Roman" w:hAnsi="Times New Roman"/>
                </w:rPr>
                <w:t>www.sostechga.edupage.org</w:t>
              </w:r>
            </w:hyperlink>
            <w:r w:rsidR="008604F2">
              <w:rPr>
                <w:rFonts w:ascii="Times New Roman" w:hAnsi="Times New Roman"/>
              </w:rPr>
              <w:t xml:space="preserve"> </w:t>
            </w:r>
          </w:p>
          <w:p w:rsidR="00F305BB" w:rsidRPr="008604F2" w:rsidRDefault="002564D1" w:rsidP="008604F2">
            <w:pPr>
              <w:tabs>
                <w:tab w:val="left" w:pos="4007"/>
              </w:tabs>
              <w:spacing w:after="0" w:line="240" w:lineRule="auto"/>
              <w:rPr>
                <w:rFonts w:ascii="Times New Roman" w:hAnsi="Times New Roman"/>
              </w:rPr>
            </w:pPr>
            <w:hyperlink r:id="rId9" w:history="1">
              <w:r w:rsidR="008604F2">
                <w:rPr>
                  <w:rStyle w:val="Hypertextovprepojenie"/>
                  <w:rFonts w:ascii="Times New Roman" w:hAnsi="Times New Roman"/>
                </w:rPr>
                <w:t>www.trnava-vuc.sk</w:t>
              </w:r>
            </w:hyperlink>
          </w:p>
        </w:tc>
      </w:tr>
      <w:tr w:rsidR="00F305BB" w:rsidRPr="008604F2" w:rsidTr="008604F2">
        <w:trPr>
          <w:trHeight w:val="6419"/>
        </w:trPr>
        <w:tc>
          <w:tcPr>
            <w:tcW w:w="9062" w:type="dxa"/>
            <w:gridSpan w:val="2"/>
            <w:vAlign w:val="center"/>
          </w:tcPr>
          <w:p w:rsidR="00F305BB" w:rsidRDefault="00F305BB" w:rsidP="008604F2">
            <w:pPr>
              <w:pStyle w:val="Odsekzoznamu"/>
              <w:numPr>
                <w:ilvl w:val="0"/>
                <w:numId w:val="5"/>
              </w:numPr>
              <w:tabs>
                <w:tab w:val="left" w:pos="1114"/>
              </w:tabs>
              <w:spacing w:after="0" w:line="240" w:lineRule="auto"/>
              <w:rPr>
                <w:rFonts w:ascii="Times New Roman" w:hAnsi="Times New Roman"/>
              </w:rPr>
            </w:pPr>
            <w:r w:rsidRPr="008604F2">
              <w:rPr>
                <w:rFonts w:ascii="Times New Roman" w:hAnsi="Times New Roman"/>
                <w:b/>
              </w:rPr>
              <w:t>Hlavné body, témy stretnutia, zhrnutie priebehu stretnutia:</w:t>
            </w:r>
            <w:r w:rsidRPr="008604F2">
              <w:rPr>
                <w:rFonts w:ascii="Times New Roman" w:hAnsi="Times New Roman"/>
              </w:rPr>
              <w:t xml:space="preserve"> </w:t>
            </w:r>
          </w:p>
          <w:p w:rsidR="00F305BB" w:rsidRPr="008604F2" w:rsidRDefault="00F305BB" w:rsidP="008604F2">
            <w:pPr>
              <w:tabs>
                <w:tab w:val="left" w:pos="1114"/>
              </w:tabs>
              <w:spacing w:after="0" w:line="240" w:lineRule="auto"/>
              <w:rPr>
                <w:rFonts w:ascii="Times New Roman" w:hAnsi="Times New Roman"/>
              </w:rPr>
            </w:pPr>
          </w:p>
          <w:p w:rsidR="00F305BB" w:rsidRPr="005D22A0" w:rsidRDefault="005D22A0" w:rsidP="005D22A0">
            <w:pPr>
              <w:tabs>
                <w:tab w:val="left" w:pos="1114"/>
              </w:tabs>
              <w:spacing w:after="0" w:line="360" w:lineRule="auto"/>
              <w:jc w:val="both"/>
              <w:rPr>
                <w:rFonts w:ascii="Times New Roman" w:hAnsi="Times New Roman"/>
                <w:b/>
                <w:sz w:val="24"/>
                <w:szCs w:val="24"/>
                <w:u w:val="single"/>
              </w:rPr>
            </w:pPr>
            <w:r w:rsidRPr="005D22A0">
              <w:rPr>
                <w:rFonts w:ascii="Times New Roman" w:hAnsi="Times New Roman"/>
                <w:b/>
                <w:sz w:val="24"/>
                <w:szCs w:val="24"/>
                <w:u w:val="single"/>
              </w:rPr>
              <w:t xml:space="preserve">Charakteristika systému </w:t>
            </w:r>
          </w:p>
          <w:p w:rsidR="005D22A0" w:rsidRDefault="005D22A0" w:rsidP="005D22A0">
            <w:pPr>
              <w:tabs>
                <w:tab w:val="left" w:pos="1114"/>
              </w:tabs>
              <w:spacing w:after="0" w:line="360" w:lineRule="auto"/>
              <w:jc w:val="both"/>
              <w:rPr>
                <w:rFonts w:ascii="Times New Roman" w:hAnsi="Times New Roman"/>
                <w:sz w:val="24"/>
                <w:szCs w:val="24"/>
              </w:rPr>
            </w:pPr>
            <w:r w:rsidRPr="005D22A0">
              <w:rPr>
                <w:rFonts w:ascii="Times New Roman" w:hAnsi="Times New Roman"/>
                <w:sz w:val="24"/>
                <w:szCs w:val="24"/>
              </w:rPr>
              <w:t xml:space="preserve">Použitím </w:t>
            </w:r>
            <w:hyperlink r:id="rId10" w:tooltip="Diferenčný" w:history="1">
              <w:r w:rsidRPr="005D22A0">
                <w:rPr>
                  <w:rFonts w:ascii="Times New Roman" w:hAnsi="Times New Roman"/>
                  <w:sz w:val="24"/>
                  <w:szCs w:val="24"/>
                </w:rPr>
                <w:t>diferenčnej</w:t>
              </w:r>
            </w:hyperlink>
            <w:r w:rsidRPr="005D22A0">
              <w:rPr>
                <w:rFonts w:ascii="Times New Roman" w:hAnsi="Times New Roman"/>
                <w:sz w:val="24"/>
                <w:szCs w:val="24"/>
              </w:rPr>
              <w:t xml:space="preserve"> (rozdielovej) </w:t>
            </w:r>
            <w:hyperlink r:id="rId11" w:tooltip="Metóda" w:history="1">
              <w:r w:rsidRPr="005D22A0">
                <w:rPr>
                  <w:rFonts w:ascii="Times New Roman" w:hAnsi="Times New Roman"/>
                  <w:sz w:val="24"/>
                  <w:szCs w:val="24"/>
                </w:rPr>
                <w:t>metódy</w:t>
              </w:r>
            </w:hyperlink>
            <w:r w:rsidRPr="005D22A0">
              <w:rPr>
                <w:rFonts w:ascii="Times New Roman" w:hAnsi="Times New Roman"/>
                <w:sz w:val="24"/>
                <w:szCs w:val="24"/>
              </w:rPr>
              <w:t xml:space="preserve"> merania sa dosiahne významného zvýšenia presnosti určovania polohy v reálnom čase. Vychádzame pri tom z poznatku, že diferencie údajov meraných dvoma blízkymi GPS prijímačmi sú zaťažené podstatne menšími chybami ako samotné namerané údaje. To je spôsobené vysokou </w:t>
            </w:r>
            <w:hyperlink r:id="rId12" w:tooltip="Korelácia" w:history="1">
              <w:r w:rsidRPr="005D22A0">
                <w:rPr>
                  <w:rFonts w:ascii="Times New Roman" w:hAnsi="Times New Roman"/>
                  <w:sz w:val="24"/>
                  <w:szCs w:val="24"/>
                </w:rPr>
                <w:t>koreláciou</w:t>
              </w:r>
            </w:hyperlink>
            <w:r w:rsidRPr="005D22A0">
              <w:rPr>
                <w:rFonts w:ascii="Times New Roman" w:hAnsi="Times New Roman"/>
                <w:sz w:val="24"/>
                <w:szCs w:val="24"/>
              </w:rPr>
              <w:t xml:space="preserve"> (vzájomnou závislosťou) chýb oboch meraní. Signál sa šíri od družice k obom prijímačom po skoro rovnakej dráhe, preto </w:t>
            </w:r>
            <w:hyperlink r:id="rId13" w:tooltip="Ionosféra" w:history="1">
              <w:r w:rsidRPr="005D22A0">
                <w:rPr>
                  <w:rFonts w:ascii="Times New Roman" w:hAnsi="Times New Roman"/>
                  <w:sz w:val="24"/>
                  <w:szCs w:val="24"/>
                </w:rPr>
                <w:t>ionosférické</w:t>
              </w:r>
            </w:hyperlink>
            <w:r w:rsidRPr="005D22A0">
              <w:rPr>
                <w:rFonts w:ascii="Times New Roman" w:hAnsi="Times New Roman"/>
                <w:sz w:val="24"/>
                <w:szCs w:val="24"/>
              </w:rPr>
              <w:t xml:space="preserve"> a </w:t>
            </w:r>
            <w:hyperlink r:id="rId14" w:tooltip="Troposféra" w:history="1">
              <w:r w:rsidRPr="005D22A0">
                <w:rPr>
                  <w:rFonts w:ascii="Times New Roman" w:hAnsi="Times New Roman"/>
                  <w:sz w:val="24"/>
                  <w:szCs w:val="24"/>
                </w:rPr>
                <w:t>troposférické</w:t>
              </w:r>
            </w:hyperlink>
            <w:r w:rsidRPr="005D22A0">
              <w:rPr>
                <w:rFonts w:ascii="Times New Roman" w:hAnsi="Times New Roman"/>
                <w:sz w:val="24"/>
                <w:szCs w:val="24"/>
              </w:rPr>
              <w:t xml:space="preserve"> oneskorenie signálu je zhruba rovnaké. Podobne sa prejavia aj chyby efemerid družíc. Za nekorelované (nezávislé) môžeme považovať len chyby spôsobené samotnými prijímačmi a mnohocestným šírením signálu (rôzne odrazy od objektov, rušenia…). Mnohocestné šírenie potom môžeme považovať za hlavný faktor výslednej chyby diferenciálneho GPS. Meranie polohy pomocou DGPS je trochu zložitejšie ako pri GPS, pretože sú potrebné minimálne dva GPS prijímače. Jeden prijímač je umiestnený stacionárne na známej polohe, ktorá sa určila geodetickým meraním. Tento prijímač sa nazýva RS – referenčná stanica. Táto stanica neustále uskutočňuje merania ku </w:t>
            </w:r>
            <w:r w:rsidRPr="005D22A0">
              <w:rPr>
                <w:rFonts w:ascii="Times New Roman" w:hAnsi="Times New Roman"/>
                <w:sz w:val="24"/>
                <w:szCs w:val="24"/>
              </w:rPr>
              <w:lastRenderedPageBreak/>
              <w:t xml:space="preserve">všetkým viditeľným družiciam, zmerané pseudovzdialenosti porovnáva s predpokladanými hodnotami (údajmi o svojej polohe) a ich rozdiely vysiela vlastným samostatný kanálom k všetkým užívateľom DGPS. V prijímačoch ostatných DGPS užívateľov sa prijaté korekcie použijú k oprave merania a tak sa významne zvýši presnosť určenia ich polohy v reálnom čase. Korekčný údaj sa aktualizuje v intervale 1 až 15 </w:t>
            </w:r>
            <w:hyperlink r:id="rId15" w:tooltip="Sekunda" w:history="1">
              <w:r w:rsidRPr="005D22A0">
                <w:rPr>
                  <w:rFonts w:ascii="Times New Roman" w:hAnsi="Times New Roman"/>
                  <w:sz w:val="24"/>
                  <w:szCs w:val="24"/>
                </w:rPr>
                <w:t>sekúnd</w:t>
              </w:r>
            </w:hyperlink>
            <w:r w:rsidRPr="005D22A0">
              <w:rPr>
                <w:rFonts w:ascii="Times New Roman" w:hAnsi="Times New Roman"/>
                <w:sz w:val="24"/>
                <w:szCs w:val="24"/>
              </w:rPr>
              <w:t>. Platnosť korekcií je v polomere 10 km centimetrová až decimetrová a v polomere 400 km je metrová. Formát opráv pre ich prenos bol navrhnutý v dokumente RTCM.</w:t>
            </w:r>
            <w:r>
              <w:rPr>
                <w:rFonts w:ascii="Times New Roman" w:hAnsi="Times New Roman"/>
                <w:sz w:val="24"/>
                <w:szCs w:val="24"/>
              </w:rPr>
              <w:t xml:space="preserve"> </w:t>
            </w:r>
          </w:p>
          <w:p w:rsidR="005D22A0" w:rsidRDefault="005D22A0" w:rsidP="005D22A0">
            <w:pPr>
              <w:tabs>
                <w:tab w:val="left" w:pos="1114"/>
              </w:tabs>
              <w:spacing w:after="0" w:line="360" w:lineRule="auto"/>
              <w:jc w:val="both"/>
              <w:rPr>
                <w:rFonts w:ascii="Times New Roman" w:hAnsi="Times New Roman"/>
                <w:b/>
                <w:sz w:val="24"/>
                <w:szCs w:val="24"/>
              </w:rPr>
            </w:pPr>
            <w:r>
              <w:rPr>
                <w:rFonts w:ascii="Times New Roman" w:hAnsi="Times New Roman"/>
                <w:sz w:val="24"/>
                <w:szCs w:val="24"/>
              </w:rPr>
              <w:t xml:space="preserve"> </w:t>
            </w:r>
            <w:r w:rsidRPr="005D22A0">
              <w:rPr>
                <w:rFonts w:ascii="Times New Roman" w:hAnsi="Times New Roman"/>
                <w:b/>
                <w:sz w:val="24"/>
                <w:szCs w:val="24"/>
              </w:rPr>
              <w:t>Pripojenie systému</w:t>
            </w:r>
            <w:r>
              <w:rPr>
                <w:rFonts w:ascii="Times New Roman" w:hAnsi="Times New Roman"/>
                <w:b/>
                <w:sz w:val="24"/>
                <w:szCs w:val="24"/>
              </w:rPr>
              <w:t xml:space="preserve"> a ovládanie systému </w:t>
            </w:r>
            <w:r w:rsidRPr="005D22A0">
              <w:rPr>
                <w:rFonts w:ascii="Times New Roman" w:hAnsi="Times New Roman"/>
                <w:b/>
                <w:sz w:val="24"/>
                <w:szCs w:val="24"/>
              </w:rPr>
              <w:t xml:space="preserve"> : </w:t>
            </w:r>
          </w:p>
          <w:p w:rsidR="005D22A0" w:rsidRDefault="00BB145D" w:rsidP="00BB145D">
            <w:pPr>
              <w:tabs>
                <w:tab w:val="left" w:pos="1114"/>
              </w:tabs>
              <w:spacing w:after="0" w:line="360" w:lineRule="auto"/>
              <w:rPr>
                <w:rStyle w:val="d2edcug0"/>
              </w:rPr>
            </w:pPr>
            <w:r>
              <w:rPr>
                <w:noProof/>
                <w:lang w:eastAsia="sk-SK"/>
              </w:rPr>
              <w:drawing>
                <wp:anchor distT="0" distB="0" distL="114300" distR="114300" simplePos="0" relativeHeight="251658240" behindDoc="0" locked="0" layoutInCell="1" allowOverlap="1">
                  <wp:simplePos x="3017520" y="3261360"/>
                  <wp:positionH relativeFrom="margin">
                    <wp:posOffset>3406140</wp:posOffset>
                  </wp:positionH>
                  <wp:positionV relativeFrom="margin">
                    <wp:posOffset>2384425</wp:posOffset>
                  </wp:positionV>
                  <wp:extent cx="2004060" cy="1800860"/>
                  <wp:effectExtent l="0" t="0" r="0" b="889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jpg"/>
                          <pic:cNvPicPr/>
                        </pic:nvPicPr>
                        <pic:blipFill>
                          <a:blip r:embed="rId16">
                            <a:extLst>
                              <a:ext uri="{28A0092B-C50C-407E-A947-70E740481C1C}">
                                <a14:useLocalDpi xmlns:a14="http://schemas.microsoft.com/office/drawing/2010/main" val="0"/>
                              </a:ext>
                            </a:extLst>
                          </a:blip>
                          <a:stretch>
                            <a:fillRect/>
                          </a:stretch>
                        </pic:blipFill>
                        <pic:spPr>
                          <a:xfrm>
                            <a:off x="0" y="0"/>
                            <a:ext cx="2004060" cy="1800860"/>
                          </a:xfrm>
                          <a:prstGeom prst="rect">
                            <a:avLst/>
                          </a:prstGeom>
                        </pic:spPr>
                      </pic:pic>
                    </a:graphicData>
                  </a:graphic>
                  <wp14:sizeRelH relativeFrom="margin">
                    <wp14:pctWidth>0</wp14:pctWidth>
                  </wp14:sizeRelH>
                  <wp14:sizeRelV relativeFrom="margin">
                    <wp14:pctHeight>0</wp14:pctHeight>
                  </wp14:sizeRelV>
                </wp:anchor>
              </w:drawing>
            </w:r>
            <w:r w:rsidR="005D22A0">
              <w:rPr>
                <w:rStyle w:val="d2edcug0"/>
              </w:rPr>
              <w:t>pre ovládanie až 190 typov strojov so zbernicou ISOBUS</w:t>
            </w:r>
            <w:r w:rsidR="005D22A0">
              <w:br/>
            </w:r>
            <w:r w:rsidR="005D22A0">
              <w:rPr>
                <w:rStyle w:val="d2edcug0"/>
              </w:rPr>
              <w:t>- jednoduché a prehľadné ovládanie</w:t>
            </w:r>
            <w:r w:rsidR="005D22A0">
              <w:br/>
            </w:r>
            <w:r w:rsidR="005D22A0">
              <w:rPr>
                <w:rStyle w:val="d2edcug0"/>
              </w:rPr>
              <w:t>- využiteľné pre stroje so zbernicou ISOBUS, ale bez monitoru</w:t>
            </w:r>
            <w:r w:rsidR="005D22A0">
              <w:br/>
            </w:r>
            <w:r w:rsidR="005D22A0">
              <w:rPr>
                <w:rStyle w:val="d2edcug0"/>
              </w:rPr>
              <w:t>- univerzálny terminál pre všetky stroje so zbernicou ISOBUS</w:t>
            </w:r>
            <w:r w:rsidR="005D22A0">
              <w:br/>
            </w:r>
            <w:r w:rsidR="005D22A0">
              <w:rPr>
                <w:rStyle w:val="d2edcug0"/>
              </w:rPr>
              <w:t xml:space="preserve">- rýchle a jednoduché prenášanie medzi traktormi </w:t>
            </w:r>
            <w:r w:rsidR="005D22A0">
              <w:br/>
            </w:r>
            <w:r w:rsidR="005D22A0">
              <w:rPr>
                <w:rStyle w:val="d2edcug0"/>
              </w:rPr>
              <w:t>- lepší výhľad a prehľadnejšia kabína vďaka jedinej obrazovke</w:t>
            </w:r>
            <w:r w:rsidR="005D22A0">
              <w:br/>
            </w:r>
            <w:r w:rsidR="005D22A0">
              <w:rPr>
                <w:rStyle w:val="d2edcug0"/>
              </w:rPr>
              <w:t>- dotyková obrazovka s uhlopriečkou 8,4</w:t>
            </w:r>
          </w:p>
          <w:p w:rsidR="00BB145D" w:rsidRDefault="00BB145D" w:rsidP="00BB145D">
            <w:pPr>
              <w:tabs>
                <w:tab w:val="left" w:pos="1114"/>
              </w:tabs>
              <w:spacing w:after="0" w:line="360" w:lineRule="auto"/>
              <w:rPr>
                <w:rStyle w:val="d2edcug0"/>
              </w:rPr>
            </w:pPr>
            <w:r>
              <w:rPr>
                <w:rStyle w:val="d2edcug0"/>
              </w:rPr>
              <w:t>je kombinovateľný s rôznymi druhmi antén a jeho presnosť záleží na zvolenom type antény a korekčného signálu (od 2 do 25 cm). Je možné ho napojiť aj na automatické samočinné navádzanie, resp. na automatické ovládanie sekcií postrekovača. Samozrejmosťou je možnosť pripojenia cúvacej kamery.</w:t>
            </w:r>
          </w:p>
          <w:p w:rsidR="00BB145D" w:rsidRDefault="00BB145D" w:rsidP="00BB145D">
            <w:pPr>
              <w:tabs>
                <w:tab w:val="left" w:pos="1114"/>
              </w:tabs>
              <w:spacing w:after="0" w:line="360" w:lineRule="auto"/>
              <w:rPr>
                <w:rStyle w:val="d2edcug0"/>
              </w:rPr>
            </w:pPr>
            <w:r>
              <w:rPr>
                <w:noProof/>
                <w:lang w:eastAsia="sk-SK"/>
              </w:rPr>
              <w:drawing>
                <wp:anchor distT="0" distB="0" distL="114300" distR="114300" simplePos="0" relativeHeight="251659264" behindDoc="0" locked="0" layoutInCell="1" allowOverlap="1">
                  <wp:simplePos x="0" y="0"/>
                  <wp:positionH relativeFrom="margin">
                    <wp:posOffset>35560</wp:posOffset>
                  </wp:positionH>
                  <wp:positionV relativeFrom="margin">
                    <wp:posOffset>5728970</wp:posOffset>
                  </wp:positionV>
                  <wp:extent cx="1751330" cy="2118360"/>
                  <wp:effectExtent l="0" t="0" r="127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jpg"/>
                          <pic:cNvPicPr/>
                        </pic:nvPicPr>
                        <pic:blipFill>
                          <a:blip r:embed="rId17">
                            <a:extLst>
                              <a:ext uri="{28A0092B-C50C-407E-A947-70E740481C1C}">
                                <a14:useLocalDpi xmlns:a14="http://schemas.microsoft.com/office/drawing/2010/main" val="0"/>
                              </a:ext>
                            </a:extLst>
                          </a:blip>
                          <a:stretch>
                            <a:fillRect/>
                          </a:stretch>
                        </pic:blipFill>
                        <pic:spPr>
                          <a:xfrm>
                            <a:off x="0" y="0"/>
                            <a:ext cx="1751330" cy="2118360"/>
                          </a:xfrm>
                          <a:prstGeom prst="rect">
                            <a:avLst/>
                          </a:prstGeom>
                        </pic:spPr>
                      </pic:pic>
                    </a:graphicData>
                  </a:graphic>
                  <wp14:sizeRelH relativeFrom="margin">
                    <wp14:pctWidth>0</wp14:pctWidth>
                  </wp14:sizeRelH>
                  <wp14:sizeRelV relativeFrom="margin">
                    <wp14:pctHeight>0</wp14:pctHeight>
                  </wp14:sizeRelV>
                </wp:anchor>
              </w:drawing>
            </w:r>
          </w:p>
          <w:p w:rsidR="00BB145D" w:rsidRDefault="00BB145D" w:rsidP="00BB145D">
            <w:pPr>
              <w:tabs>
                <w:tab w:val="left" w:pos="1114"/>
              </w:tabs>
              <w:spacing w:after="0" w:line="360" w:lineRule="auto"/>
              <w:rPr>
                <w:rStyle w:val="d2edcug0"/>
              </w:rPr>
            </w:pPr>
            <w:r>
              <w:rPr>
                <w:rStyle w:val="d2edcug0"/>
              </w:rPr>
              <w:t xml:space="preserve"> Pracovný monitor </w:t>
            </w:r>
            <w:r>
              <w:rPr>
                <w:rStyle w:val="d2edcug0"/>
              </w:rPr>
              <w:t>dokáže obsluhe ponúknuť vyššiu presnosť v porovnaní s navigačným systémom V1, a to vďaka výkonnejšej príjmacej GPS anténe. Ďalej ponúka rozšírené funkcie ako napríklad režim navigovania podľa poslednej krivky, virtuálne vypínanie sekcií postrekovača alebo možnosť pripojenia cúvacej kamery.</w:t>
            </w:r>
            <w:r>
              <w:rPr>
                <w:rStyle w:val="d2edcug0"/>
              </w:rPr>
              <w:t xml:space="preserve">  </w:t>
            </w:r>
          </w:p>
          <w:p w:rsidR="00BB145D" w:rsidRDefault="00BB145D" w:rsidP="00BB145D">
            <w:pPr>
              <w:tabs>
                <w:tab w:val="left" w:pos="1114"/>
              </w:tabs>
              <w:spacing w:after="0" w:line="360" w:lineRule="auto"/>
              <w:rPr>
                <w:rStyle w:val="d2edcug0"/>
              </w:rPr>
            </w:pPr>
          </w:p>
          <w:p w:rsidR="00BB145D" w:rsidRDefault="00BB145D" w:rsidP="00BB145D">
            <w:pPr>
              <w:tabs>
                <w:tab w:val="left" w:pos="1114"/>
              </w:tabs>
              <w:spacing w:after="0" w:line="360" w:lineRule="auto"/>
              <w:rPr>
                <w:rStyle w:val="d2edcug0"/>
              </w:rPr>
            </w:pPr>
          </w:p>
          <w:p w:rsidR="00BB145D" w:rsidRDefault="00BB145D" w:rsidP="00BB145D">
            <w:pPr>
              <w:tabs>
                <w:tab w:val="left" w:pos="1114"/>
              </w:tabs>
              <w:spacing w:after="0" w:line="360" w:lineRule="auto"/>
              <w:rPr>
                <w:rStyle w:val="d2edcug0"/>
              </w:rPr>
            </w:pPr>
          </w:p>
          <w:p w:rsidR="00BB145D" w:rsidRDefault="00BB145D" w:rsidP="00BB145D">
            <w:pPr>
              <w:tabs>
                <w:tab w:val="left" w:pos="1114"/>
              </w:tabs>
              <w:spacing w:after="0" w:line="360" w:lineRule="auto"/>
              <w:rPr>
                <w:rStyle w:val="d2edcug0"/>
              </w:rPr>
            </w:pPr>
          </w:p>
          <w:p w:rsidR="00BB145D" w:rsidRDefault="00BB145D" w:rsidP="00BB145D">
            <w:pPr>
              <w:tabs>
                <w:tab w:val="left" w:pos="1114"/>
              </w:tabs>
              <w:spacing w:after="0" w:line="360" w:lineRule="auto"/>
              <w:rPr>
                <w:rStyle w:val="d2edcug0"/>
              </w:rPr>
            </w:pPr>
          </w:p>
          <w:p w:rsidR="00BB145D" w:rsidRDefault="00BB145D" w:rsidP="00BB145D">
            <w:pPr>
              <w:tabs>
                <w:tab w:val="left" w:pos="1114"/>
              </w:tabs>
              <w:spacing w:after="0" w:line="360" w:lineRule="auto"/>
              <w:rPr>
                <w:rStyle w:val="d2edcug0"/>
              </w:rPr>
            </w:pPr>
          </w:p>
          <w:p w:rsidR="00BB145D" w:rsidRDefault="00BB145D" w:rsidP="00BB145D">
            <w:pPr>
              <w:tabs>
                <w:tab w:val="left" w:pos="1114"/>
              </w:tabs>
              <w:spacing w:after="0" w:line="360" w:lineRule="auto"/>
              <w:rPr>
                <w:rStyle w:val="d2edcug0"/>
              </w:rPr>
            </w:pPr>
          </w:p>
          <w:p w:rsidR="00BB145D" w:rsidRDefault="00BB145D" w:rsidP="00BB145D">
            <w:pPr>
              <w:tabs>
                <w:tab w:val="left" w:pos="1114"/>
              </w:tabs>
              <w:spacing w:after="0" w:line="360" w:lineRule="auto"/>
              <w:rPr>
                <w:rStyle w:val="d2edcug0"/>
              </w:rPr>
            </w:pPr>
            <w:r>
              <w:rPr>
                <w:rStyle w:val="d2edcug0"/>
              </w:rPr>
              <w:t>Taktiež je možné ho rozšíriť o automatické ovládanie sekcií postrekovača, a to nezávisle na značke stroja. Samozrejmosťou je možnosť pripojenia cúvacej kamery. Presnosť záleží na zvolenom type antény a korekčného signálu (od 2 do 25 cm).</w:t>
            </w:r>
            <w:r>
              <w:rPr>
                <w:noProof/>
                <w:lang w:eastAsia="sk-SK"/>
              </w:rPr>
              <w:drawing>
                <wp:anchor distT="0" distB="0" distL="114300" distR="114300" simplePos="0" relativeHeight="251660288" behindDoc="0" locked="0" layoutInCell="1" allowOverlap="1">
                  <wp:simplePos x="975360" y="906780"/>
                  <wp:positionH relativeFrom="margin">
                    <wp:posOffset>161925</wp:posOffset>
                  </wp:positionH>
                  <wp:positionV relativeFrom="margin">
                    <wp:posOffset>250825</wp:posOffset>
                  </wp:positionV>
                  <wp:extent cx="2227580" cy="1668780"/>
                  <wp:effectExtent l="0" t="0" r="127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18">
                            <a:extLst>
                              <a:ext uri="{28A0092B-C50C-407E-A947-70E740481C1C}">
                                <a14:useLocalDpi xmlns:a14="http://schemas.microsoft.com/office/drawing/2010/main" val="0"/>
                              </a:ext>
                            </a:extLst>
                          </a:blip>
                          <a:stretch>
                            <a:fillRect/>
                          </a:stretch>
                        </pic:blipFill>
                        <pic:spPr>
                          <a:xfrm>
                            <a:off x="0" y="0"/>
                            <a:ext cx="2227580" cy="1668780"/>
                          </a:xfrm>
                          <a:prstGeom prst="rect">
                            <a:avLst/>
                          </a:prstGeom>
                        </pic:spPr>
                      </pic:pic>
                    </a:graphicData>
                  </a:graphic>
                  <wp14:sizeRelH relativeFrom="margin">
                    <wp14:pctWidth>0</wp14:pctWidth>
                  </wp14:sizeRelH>
                  <wp14:sizeRelV relativeFrom="margin">
                    <wp14:pctHeight>0</wp14:pctHeight>
                  </wp14:sizeRelV>
                </wp:anchor>
              </w:drawing>
            </w:r>
          </w:p>
          <w:p w:rsidR="00BB145D" w:rsidRPr="00BB145D" w:rsidRDefault="00BB145D" w:rsidP="00BB145D"/>
          <w:p w:rsidR="00BB145D" w:rsidRDefault="00BB145D" w:rsidP="00BB145D">
            <w:pPr>
              <w:tabs>
                <w:tab w:val="left" w:pos="1114"/>
              </w:tabs>
              <w:spacing w:after="0" w:line="360" w:lineRule="auto"/>
              <w:rPr>
                <w:rStyle w:val="d2edcug0"/>
              </w:rPr>
            </w:pPr>
          </w:p>
          <w:p w:rsidR="00BB145D" w:rsidRDefault="00BB145D" w:rsidP="00BB145D">
            <w:pPr>
              <w:tabs>
                <w:tab w:val="left" w:pos="1114"/>
              </w:tabs>
              <w:spacing w:after="0" w:line="360" w:lineRule="auto"/>
              <w:rPr>
                <w:rFonts w:ascii="Times New Roman" w:hAnsi="Times New Roman"/>
                <w:b/>
              </w:rPr>
            </w:pPr>
            <w:r>
              <w:rPr>
                <w:rFonts w:ascii="Times New Roman" w:hAnsi="Times New Roman"/>
                <w:b/>
              </w:rPr>
              <w:t xml:space="preserve">Montáž a pripojenie snímača GPS snímača   </w:t>
            </w:r>
          </w:p>
          <w:p w:rsidR="00BB145D" w:rsidRDefault="00BB145D" w:rsidP="00BB145D">
            <w:pPr>
              <w:tabs>
                <w:tab w:val="left" w:pos="1114"/>
              </w:tabs>
              <w:spacing w:after="0" w:line="360" w:lineRule="auto"/>
              <w:rPr>
                <w:rFonts w:ascii="Times New Roman" w:hAnsi="Times New Roman"/>
                <w:b/>
              </w:rPr>
            </w:pPr>
          </w:p>
          <w:p w:rsidR="00BB145D" w:rsidRDefault="00BB145D" w:rsidP="00BB145D">
            <w:pPr>
              <w:pStyle w:val="Odsekzoznamu"/>
              <w:numPr>
                <w:ilvl w:val="0"/>
                <w:numId w:val="10"/>
              </w:numPr>
              <w:tabs>
                <w:tab w:val="left" w:pos="1114"/>
              </w:tabs>
              <w:spacing w:after="0" w:line="360" w:lineRule="auto"/>
              <w:rPr>
                <w:rFonts w:ascii="Times New Roman" w:hAnsi="Times New Roman"/>
              </w:rPr>
            </w:pPr>
            <w:r w:rsidRPr="00BB145D">
              <w:rPr>
                <w:noProof/>
                <w:lang w:eastAsia="sk-SK"/>
              </w:rPr>
              <w:drawing>
                <wp:anchor distT="0" distB="0" distL="114300" distR="114300" simplePos="0" relativeHeight="251661312" behindDoc="0" locked="0" layoutInCell="1" allowOverlap="1">
                  <wp:simplePos x="3543300" y="1661160"/>
                  <wp:positionH relativeFrom="margin">
                    <wp:posOffset>3297555</wp:posOffset>
                  </wp:positionH>
                  <wp:positionV relativeFrom="margin">
                    <wp:posOffset>2285365</wp:posOffset>
                  </wp:positionV>
                  <wp:extent cx="2110740" cy="2552700"/>
                  <wp:effectExtent l="0" t="0" r="381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6.jpg"/>
                          <pic:cNvPicPr/>
                        </pic:nvPicPr>
                        <pic:blipFill>
                          <a:blip r:embed="rId17">
                            <a:extLst>
                              <a:ext uri="{28A0092B-C50C-407E-A947-70E740481C1C}">
                                <a14:useLocalDpi xmlns:a14="http://schemas.microsoft.com/office/drawing/2010/main" val="0"/>
                              </a:ext>
                            </a:extLst>
                          </a:blip>
                          <a:stretch>
                            <a:fillRect/>
                          </a:stretch>
                        </pic:blipFill>
                        <pic:spPr>
                          <a:xfrm>
                            <a:off x="0" y="0"/>
                            <a:ext cx="2110740" cy="2552700"/>
                          </a:xfrm>
                          <a:prstGeom prst="rect">
                            <a:avLst/>
                          </a:prstGeom>
                        </pic:spPr>
                      </pic:pic>
                    </a:graphicData>
                  </a:graphic>
                  <wp14:sizeRelH relativeFrom="margin">
                    <wp14:pctWidth>0</wp14:pctWidth>
                  </wp14:sizeRelH>
                  <wp14:sizeRelV relativeFrom="margin">
                    <wp14:pctHeight>0</wp14:pctHeight>
                  </wp14:sizeRelV>
                </wp:anchor>
              </w:drawing>
            </w:r>
            <w:r w:rsidRPr="00BB145D">
              <w:rPr>
                <w:rFonts w:ascii="Times New Roman" w:hAnsi="Times New Roman"/>
              </w:rPr>
              <w:t xml:space="preserve">pripojenie </w:t>
            </w:r>
          </w:p>
          <w:p w:rsidR="00BB145D" w:rsidRDefault="00BB145D" w:rsidP="00BB145D">
            <w:pPr>
              <w:pStyle w:val="Odsekzoznamu"/>
              <w:numPr>
                <w:ilvl w:val="0"/>
                <w:numId w:val="10"/>
              </w:numPr>
              <w:tabs>
                <w:tab w:val="left" w:pos="1114"/>
              </w:tabs>
              <w:spacing w:after="0" w:line="360" w:lineRule="auto"/>
              <w:rPr>
                <w:rFonts w:ascii="Times New Roman" w:hAnsi="Times New Roman"/>
              </w:rPr>
            </w:pPr>
            <w:r>
              <w:rPr>
                <w:rFonts w:ascii="Times New Roman" w:hAnsi="Times New Roman"/>
              </w:rPr>
              <w:t xml:space="preserve">Hľadanie optimalizovaného  systému </w:t>
            </w:r>
          </w:p>
          <w:p w:rsidR="00BB145D" w:rsidRDefault="00BB145D" w:rsidP="00BB145D">
            <w:pPr>
              <w:pStyle w:val="Odsekzoznamu"/>
              <w:numPr>
                <w:ilvl w:val="0"/>
                <w:numId w:val="10"/>
              </w:numPr>
              <w:tabs>
                <w:tab w:val="left" w:pos="1114"/>
              </w:tabs>
              <w:spacing w:after="0" w:line="360" w:lineRule="auto"/>
              <w:rPr>
                <w:rFonts w:ascii="Times New Roman" w:hAnsi="Times New Roman"/>
              </w:rPr>
            </w:pPr>
            <w:r>
              <w:rPr>
                <w:rFonts w:ascii="Times New Roman" w:hAnsi="Times New Roman"/>
              </w:rPr>
              <w:t xml:space="preserve">( označenie úrovne a stav signálu ) </w:t>
            </w:r>
          </w:p>
          <w:p w:rsidR="002564D1" w:rsidRDefault="002564D1" w:rsidP="00BB145D">
            <w:pPr>
              <w:pStyle w:val="Odsekzoznamu"/>
              <w:numPr>
                <w:ilvl w:val="0"/>
                <w:numId w:val="10"/>
              </w:numPr>
              <w:tabs>
                <w:tab w:val="left" w:pos="1114"/>
              </w:tabs>
              <w:spacing w:after="0" w:line="360" w:lineRule="auto"/>
              <w:rPr>
                <w:rFonts w:ascii="Times New Roman" w:hAnsi="Times New Roman"/>
              </w:rPr>
            </w:pPr>
            <w:r>
              <w:rPr>
                <w:rFonts w:ascii="Times New Roman" w:hAnsi="Times New Roman"/>
              </w:rPr>
              <w:t xml:space="preserve">Nastavenie parametrov stroja </w:t>
            </w:r>
          </w:p>
          <w:p w:rsidR="002564D1" w:rsidRPr="00BB145D" w:rsidRDefault="002564D1" w:rsidP="00BB145D">
            <w:pPr>
              <w:pStyle w:val="Odsekzoznamu"/>
              <w:numPr>
                <w:ilvl w:val="0"/>
                <w:numId w:val="10"/>
              </w:numPr>
              <w:tabs>
                <w:tab w:val="left" w:pos="1114"/>
              </w:tabs>
              <w:spacing w:after="0" w:line="360" w:lineRule="auto"/>
              <w:rPr>
                <w:rFonts w:ascii="Times New Roman" w:hAnsi="Times New Roman"/>
              </w:rPr>
            </w:pPr>
            <w:r>
              <w:rPr>
                <w:rFonts w:ascii="Times New Roman" w:hAnsi="Times New Roman"/>
              </w:rPr>
              <w:t xml:space="preserve">Označenie východiskovej polohy </w:t>
            </w: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D877B6" w:rsidP="007B6C7D">
            <w:pPr>
              <w:tabs>
                <w:tab w:val="left" w:pos="1114"/>
              </w:tabs>
              <w:spacing w:after="0" w:line="240" w:lineRule="auto"/>
            </w:pPr>
            <w:r>
              <w:rPr>
                <w:rFonts w:ascii="Times New Roman" w:hAnsi="Times New Roman"/>
              </w:rPr>
              <w:t>Filip Koška</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2564D1" w:rsidP="007B6C7D">
            <w:pPr>
              <w:tabs>
                <w:tab w:val="left" w:pos="1114"/>
              </w:tabs>
              <w:spacing w:after="0" w:line="240" w:lineRule="auto"/>
            </w:pPr>
            <w:r>
              <w:t>4.4</w:t>
            </w:r>
            <w:r w:rsidR="00DA4E15">
              <w:t>.2022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2564D1" w:rsidP="007B6C7D">
            <w:pPr>
              <w:tabs>
                <w:tab w:val="left" w:pos="1114"/>
              </w:tabs>
              <w:spacing w:after="0" w:line="240" w:lineRule="auto"/>
            </w:pPr>
            <w:r>
              <w:rPr>
                <w:rFonts w:ascii="Times New Roman" w:hAnsi="Times New Roman"/>
              </w:rPr>
              <w:t xml:space="preserve">Ing. Beáta Kissová </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2564D1" w:rsidP="007B6C7D">
            <w:pPr>
              <w:tabs>
                <w:tab w:val="left" w:pos="1114"/>
              </w:tabs>
              <w:spacing w:after="0" w:line="240" w:lineRule="auto"/>
            </w:pPr>
            <w:r>
              <w:t>4.4</w:t>
            </w:r>
            <w:bookmarkStart w:id="0" w:name="_GoBack"/>
            <w:bookmarkEnd w:id="0"/>
            <w:r w:rsidR="00DA4E15">
              <w:t>.2022</w:t>
            </w:r>
            <w:r w:rsidR="00C361FB">
              <w:t xml:space="preserve"> </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 xml:space="preserve">Prezenčná listina </w:t>
      </w:r>
      <w:r w:rsidR="00ED3A9D">
        <w:rPr>
          <w:rFonts w:ascii="Times New Roman" w:hAnsi="Times New Roman"/>
        </w:rPr>
        <w:t xml:space="preserve">z mimoškolskej </w:t>
      </w:r>
      <w:r w:rsidR="00550FB6">
        <w:rPr>
          <w:rFonts w:ascii="Times New Roman" w:hAnsi="Times New Roman"/>
        </w:rPr>
        <w:t>činnosti</w:t>
      </w:r>
    </w:p>
    <w:p w:rsidR="00F305BB" w:rsidRDefault="00F305BB" w:rsidP="00B440DB">
      <w:pPr>
        <w:tabs>
          <w:tab w:val="left" w:pos="1114"/>
        </w:tabs>
      </w:pP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B5" w:rsidRDefault="002E08B5" w:rsidP="00CF35D8">
      <w:pPr>
        <w:spacing w:after="0" w:line="240" w:lineRule="auto"/>
      </w:pPr>
      <w:r>
        <w:separator/>
      </w:r>
    </w:p>
  </w:endnote>
  <w:endnote w:type="continuationSeparator" w:id="0">
    <w:p w:rsidR="002E08B5" w:rsidRDefault="002E08B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B5" w:rsidRDefault="002E08B5" w:rsidP="00CF35D8">
      <w:pPr>
        <w:spacing w:after="0" w:line="240" w:lineRule="auto"/>
      </w:pPr>
      <w:r>
        <w:separator/>
      </w:r>
    </w:p>
  </w:footnote>
  <w:footnote w:type="continuationSeparator" w:id="0">
    <w:p w:rsidR="002E08B5" w:rsidRDefault="002E08B5"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821FCC"/>
    <w:multiLevelType w:val="hybridMultilevel"/>
    <w:tmpl w:val="8534ADA0"/>
    <w:lvl w:ilvl="0" w:tplc="4FC6EA0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AB14FA6"/>
    <w:multiLevelType w:val="hybridMultilevel"/>
    <w:tmpl w:val="D2EC1E6A"/>
    <w:lvl w:ilvl="0" w:tplc="E466C1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E340A7D"/>
    <w:multiLevelType w:val="hybridMultilevel"/>
    <w:tmpl w:val="10F4E21A"/>
    <w:lvl w:ilvl="0" w:tplc="D4A2C174">
      <w:numFmt w:val="bullet"/>
      <w:lvlText w:val="-"/>
      <w:lvlJc w:val="left"/>
      <w:pPr>
        <w:ind w:left="468" w:hanging="360"/>
      </w:pPr>
      <w:rPr>
        <w:rFonts w:ascii="Times New Roman" w:eastAsia="Calibri" w:hAnsi="Times New Roman" w:cs="Times New Roman" w:hint="default"/>
      </w:rPr>
    </w:lvl>
    <w:lvl w:ilvl="1" w:tplc="041B0003" w:tentative="1">
      <w:start w:val="1"/>
      <w:numFmt w:val="bullet"/>
      <w:lvlText w:val="o"/>
      <w:lvlJc w:val="left"/>
      <w:pPr>
        <w:ind w:left="1188" w:hanging="360"/>
      </w:pPr>
      <w:rPr>
        <w:rFonts w:ascii="Courier New" w:hAnsi="Courier New" w:cs="Courier New" w:hint="default"/>
      </w:rPr>
    </w:lvl>
    <w:lvl w:ilvl="2" w:tplc="041B0005" w:tentative="1">
      <w:start w:val="1"/>
      <w:numFmt w:val="bullet"/>
      <w:lvlText w:val=""/>
      <w:lvlJc w:val="left"/>
      <w:pPr>
        <w:ind w:left="1908" w:hanging="360"/>
      </w:pPr>
      <w:rPr>
        <w:rFonts w:ascii="Wingdings" w:hAnsi="Wingdings" w:hint="default"/>
      </w:rPr>
    </w:lvl>
    <w:lvl w:ilvl="3" w:tplc="041B0001" w:tentative="1">
      <w:start w:val="1"/>
      <w:numFmt w:val="bullet"/>
      <w:lvlText w:val=""/>
      <w:lvlJc w:val="left"/>
      <w:pPr>
        <w:ind w:left="2628" w:hanging="360"/>
      </w:pPr>
      <w:rPr>
        <w:rFonts w:ascii="Symbol" w:hAnsi="Symbol" w:hint="default"/>
      </w:rPr>
    </w:lvl>
    <w:lvl w:ilvl="4" w:tplc="041B0003" w:tentative="1">
      <w:start w:val="1"/>
      <w:numFmt w:val="bullet"/>
      <w:lvlText w:val="o"/>
      <w:lvlJc w:val="left"/>
      <w:pPr>
        <w:ind w:left="3348" w:hanging="360"/>
      </w:pPr>
      <w:rPr>
        <w:rFonts w:ascii="Courier New" w:hAnsi="Courier New" w:cs="Courier New" w:hint="default"/>
      </w:rPr>
    </w:lvl>
    <w:lvl w:ilvl="5" w:tplc="041B0005" w:tentative="1">
      <w:start w:val="1"/>
      <w:numFmt w:val="bullet"/>
      <w:lvlText w:val=""/>
      <w:lvlJc w:val="left"/>
      <w:pPr>
        <w:ind w:left="4068" w:hanging="360"/>
      </w:pPr>
      <w:rPr>
        <w:rFonts w:ascii="Wingdings" w:hAnsi="Wingdings" w:hint="default"/>
      </w:rPr>
    </w:lvl>
    <w:lvl w:ilvl="6" w:tplc="041B0001" w:tentative="1">
      <w:start w:val="1"/>
      <w:numFmt w:val="bullet"/>
      <w:lvlText w:val=""/>
      <w:lvlJc w:val="left"/>
      <w:pPr>
        <w:ind w:left="4788" w:hanging="360"/>
      </w:pPr>
      <w:rPr>
        <w:rFonts w:ascii="Symbol" w:hAnsi="Symbol" w:hint="default"/>
      </w:rPr>
    </w:lvl>
    <w:lvl w:ilvl="7" w:tplc="041B0003" w:tentative="1">
      <w:start w:val="1"/>
      <w:numFmt w:val="bullet"/>
      <w:lvlText w:val="o"/>
      <w:lvlJc w:val="left"/>
      <w:pPr>
        <w:ind w:left="5508" w:hanging="360"/>
      </w:pPr>
      <w:rPr>
        <w:rFonts w:ascii="Courier New" w:hAnsi="Courier New" w:cs="Courier New" w:hint="default"/>
      </w:rPr>
    </w:lvl>
    <w:lvl w:ilvl="8" w:tplc="041B0005" w:tentative="1">
      <w:start w:val="1"/>
      <w:numFmt w:val="bullet"/>
      <w:lvlText w:val=""/>
      <w:lvlJc w:val="left"/>
      <w:pPr>
        <w:ind w:left="6228" w:hanging="360"/>
      </w:pPr>
      <w:rPr>
        <w:rFonts w:ascii="Wingdings" w:hAnsi="Wingdings" w:hint="default"/>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5"/>
  </w:num>
  <w:num w:numId="4">
    <w:abstractNumId w:val="8"/>
  </w:num>
  <w:num w:numId="5">
    <w:abstractNumId w:val="6"/>
  </w:num>
  <w:num w:numId="6">
    <w:abstractNumId w:val="3"/>
  </w:num>
  <w:num w:numId="7">
    <w:abstractNumId w:val="2"/>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65D98"/>
    <w:rsid w:val="000E02D9"/>
    <w:rsid w:val="000E6FBF"/>
    <w:rsid w:val="000F127B"/>
    <w:rsid w:val="00137050"/>
    <w:rsid w:val="001502F6"/>
    <w:rsid w:val="00151F6C"/>
    <w:rsid w:val="001544C0"/>
    <w:rsid w:val="001620FF"/>
    <w:rsid w:val="001745A4"/>
    <w:rsid w:val="00195BD6"/>
    <w:rsid w:val="00195C6F"/>
    <w:rsid w:val="001A5EA2"/>
    <w:rsid w:val="001B69AF"/>
    <w:rsid w:val="001D498E"/>
    <w:rsid w:val="00203036"/>
    <w:rsid w:val="00225CD9"/>
    <w:rsid w:val="002564D1"/>
    <w:rsid w:val="00257FCD"/>
    <w:rsid w:val="0027478F"/>
    <w:rsid w:val="002D7F9B"/>
    <w:rsid w:val="002D7FC6"/>
    <w:rsid w:val="002E08B5"/>
    <w:rsid w:val="002E3F1A"/>
    <w:rsid w:val="0034733D"/>
    <w:rsid w:val="003700F7"/>
    <w:rsid w:val="003F10E0"/>
    <w:rsid w:val="004137CE"/>
    <w:rsid w:val="00423CC3"/>
    <w:rsid w:val="00432696"/>
    <w:rsid w:val="00446402"/>
    <w:rsid w:val="004C05D7"/>
    <w:rsid w:val="004F368A"/>
    <w:rsid w:val="00507CF5"/>
    <w:rsid w:val="005361EC"/>
    <w:rsid w:val="005365E4"/>
    <w:rsid w:val="00541786"/>
    <w:rsid w:val="00550FB6"/>
    <w:rsid w:val="0055263C"/>
    <w:rsid w:val="00583AF0"/>
    <w:rsid w:val="0058712F"/>
    <w:rsid w:val="00592E27"/>
    <w:rsid w:val="005B7DEE"/>
    <w:rsid w:val="005C5106"/>
    <w:rsid w:val="005D22A0"/>
    <w:rsid w:val="005D5051"/>
    <w:rsid w:val="0063740B"/>
    <w:rsid w:val="006377DA"/>
    <w:rsid w:val="006A3977"/>
    <w:rsid w:val="006B6CBE"/>
    <w:rsid w:val="006E77C5"/>
    <w:rsid w:val="00763367"/>
    <w:rsid w:val="007A5170"/>
    <w:rsid w:val="007A6CFA"/>
    <w:rsid w:val="007B6C7D"/>
    <w:rsid w:val="007D5F53"/>
    <w:rsid w:val="008058B8"/>
    <w:rsid w:val="008604F2"/>
    <w:rsid w:val="008721DB"/>
    <w:rsid w:val="008C3B1D"/>
    <w:rsid w:val="008C3C41"/>
    <w:rsid w:val="009B1341"/>
    <w:rsid w:val="009C3018"/>
    <w:rsid w:val="009F4F76"/>
    <w:rsid w:val="00A71E3A"/>
    <w:rsid w:val="00A9043F"/>
    <w:rsid w:val="00AB111C"/>
    <w:rsid w:val="00AF5989"/>
    <w:rsid w:val="00B440DB"/>
    <w:rsid w:val="00B71530"/>
    <w:rsid w:val="00B96FC7"/>
    <w:rsid w:val="00BA0227"/>
    <w:rsid w:val="00BA7303"/>
    <w:rsid w:val="00BB145D"/>
    <w:rsid w:val="00BB5601"/>
    <w:rsid w:val="00BE00F1"/>
    <w:rsid w:val="00BF2F35"/>
    <w:rsid w:val="00BF4683"/>
    <w:rsid w:val="00BF4792"/>
    <w:rsid w:val="00BF58FB"/>
    <w:rsid w:val="00C065E1"/>
    <w:rsid w:val="00C361FB"/>
    <w:rsid w:val="00CA0B4D"/>
    <w:rsid w:val="00CA771E"/>
    <w:rsid w:val="00CC0A29"/>
    <w:rsid w:val="00CD7D64"/>
    <w:rsid w:val="00CF35D8"/>
    <w:rsid w:val="00D0796E"/>
    <w:rsid w:val="00D5619C"/>
    <w:rsid w:val="00D877B6"/>
    <w:rsid w:val="00DA4E15"/>
    <w:rsid w:val="00DA6ABC"/>
    <w:rsid w:val="00DD1AA4"/>
    <w:rsid w:val="00E36C97"/>
    <w:rsid w:val="00E73CB9"/>
    <w:rsid w:val="00E926D8"/>
    <w:rsid w:val="00EC5730"/>
    <w:rsid w:val="00ED3A9D"/>
    <w:rsid w:val="00ED69DB"/>
    <w:rsid w:val="00F15FD6"/>
    <w:rsid w:val="00F305BB"/>
    <w:rsid w:val="00F36E61"/>
    <w:rsid w:val="00F61779"/>
    <w:rsid w:val="00FD3420"/>
    <w:rsid w:val="00FD418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8604F2"/>
    <w:rPr>
      <w:color w:val="0000FF" w:themeColor="hyperlink"/>
      <w:u w:val="single"/>
    </w:rPr>
  </w:style>
  <w:style w:type="paragraph" w:styleId="Normlnywebov">
    <w:name w:val="Normal (Web)"/>
    <w:basedOn w:val="Normlny"/>
    <w:uiPriority w:val="99"/>
    <w:semiHidden/>
    <w:unhideWhenUsed/>
    <w:rsid w:val="00C361FB"/>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C361FB"/>
    <w:rPr>
      <w:sz w:val="22"/>
      <w:szCs w:val="22"/>
      <w:lang w:eastAsia="en-US"/>
    </w:rPr>
  </w:style>
  <w:style w:type="character" w:customStyle="1" w:styleId="markedcontent">
    <w:name w:val="markedcontent"/>
    <w:basedOn w:val="Predvolenpsmoodseku"/>
    <w:rsid w:val="00ED69DB"/>
  </w:style>
  <w:style w:type="character" w:customStyle="1" w:styleId="d2edcug0">
    <w:name w:val="d2edcug0"/>
    <w:basedOn w:val="Predvolenpsmoodseku"/>
    <w:rsid w:val="005D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5950">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675257372">
      <w:bodyDiv w:val="1"/>
      <w:marLeft w:val="0"/>
      <w:marRight w:val="0"/>
      <w:marTop w:val="0"/>
      <w:marBottom w:val="0"/>
      <w:divBdr>
        <w:top w:val="none" w:sz="0" w:space="0" w:color="auto"/>
        <w:left w:val="none" w:sz="0" w:space="0" w:color="auto"/>
        <w:bottom w:val="none" w:sz="0" w:space="0" w:color="auto"/>
        <w:right w:val="none" w:sz="0" w:space="0" w:color="auto"/>
      </w:divBdr>
    </w:div>
    <w:div w:id="1758555057">
      <w:bodyDiv w:val="1"/>
      <w:marLeft w:val="0"/>
      <w:marRight w:val="0"/>
      <w:marTop w:val="0"/>
      <w:marBottom w:val="0"/>
      <w:divBdr>
        <w:top w:val="none" w:sz="0" w:space="0" w:color="auto"/>
        <w:left w:val="none" w:sz="0" w:space="0" w:color="auto"/>
        <w:bottom w:val="none" w:sz="0" w:space="0" w:color="auto"/>
        <w:right w:val="none" w:sz="0" w:space="0" w:color="auto"/>
      </w:divBdr>
    </w:div>
    <w:div w:id="18082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chga.edupage.org" TargetMode="External"/><Relationship Id="rId13" Type="http://schemas.openxmlformats.org/officeDocument/2006/relationships/hyperlink" Target="https://sk.wikipedia.org/wiki/Ionosf%C3%A9ra" TargetMode="External"/><Relationship Id="rId1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k.wikipedia.org/wiki/Korel%C3%A1cia"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wikipedia.org/wiki/Met%C3%B3da" TargetMode="External"/><Relationship Id="rId5" Type="http://schemas.openxmlformats.org/officeDocument/2006/relationships/footnotes" Target="footnotes.xml"/><Relationship Id="rId15" Type="http://schemas.openxmlformats.org/officeDocument/2006/relationships/hyperlink" Target="https://sk.wikipedia.org/wiki/Sekunda" TargetMode="External"/><Relationship Id="rId10" Type="http://schemas.openxmlformats.org/officeDocument/2006/relationships/hyperlink" Target="https://sk.wikipedia.org/wiki/Diferen%C4%8Dn%C3%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nava-vuc.sk" TargetMode="External"/><Relationship Id="rId14" Type="http://schemas.openxmlformats.org/officeDocument/2006/relationships/hyperlink" Target="https://sk.wikipedia.org/wiki/Troposf%C3%A9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592</Words>
  <Characters>4235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Andrej Bórik</cp:lastModifiedBy>
  <cp:revision>10</cp:revision>
  <cp:lastPrinted>2017-07-21T06:21:00Z</cp:lastPrinted>
  <dcterms:created xsi:type="dcterms:W3CDTF">2021-10-08T05:20:00Z</dcterms:created>
  <dcterms:modified xsi:type="dcterms:W3CDTF">2022-04-16T12:19:00Z</dcterms:modified>
</cp:coreProperties>
</file>